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7" w:rsidRDefault="00E25E97" w:rsidP="00E2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center"/>
      </w:pPr>
      <w:r>
        <w:t>TEMAS CORRESPONDIENTES AL EXAMEN FINAL Y TESIS DE LA CARRERA DE TEC. SEG. HIG. UOCRA A-1450</w:t>
      </w:r>
    </w:p>
    <w:p w:rsidR="00E25E97" w:rsidRPr="00E25E97" w:rsidRDefault="00E25E97" w:rsidP="00E25E97">
      <w:pPr>
        <w:ind w:left="-426"/>
        <w:rPr>
          <w:b/>
          <w:bCs/>
        </w:rPr>
      </w:pPr>
      <w:r w:rsidRPr="00E25E97">
        <w:rPr>
          <w:b/>
          <w:bCs/>
        </w:rPr>
        <w:t>Resolución 523/2007</w:t>
      </w:r>
      <w:r>
        <w:rPr>
          <w:b/>
          <w:bCs/>
        </w:rPr>
        <w:t xml:space="preserve"> </w:t>
      </w:r>
      <w:r w:rsidRPr="00E25E97">
        <w:rPr>
          <w:b/>
          <w:bCs/>
        </w:rPr>
        <w:t>SISTEMAS DE GESTION DE LA SEGURIDAD Y LA SALUD EN EL TRABAJO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1. Objeto y alcance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2. Publicaciones de Referencia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 El sistema de gestión de la seguridad y la salud en el trabajo en la organización Política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3.1. Política en materia de seguridad y salud en el trabajo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3.2. Participación de los trabajadores Organización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3.3. Responsabilidad y obligación de rendir cuentas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3.4. Competencia </w:t>
      </w:r>
      <w:r w:rsidRPr="00E25E97">
        <w:rPr>
          <w:vertAlign w:val="superscript"/>
        </w:rPr>
        <w:t>1</w:t>
      </w:r>
      <w:r w:rsidRPr="00E25E97">
        <w:t>y capacitación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3.5. Documentación del sistema de gestión de la seguridad y la salud en el trabajo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3.6. Comunicación</w:t>
      </w:r>
    </w:p>
    <w:p w:rsidR="00E25E97" w:rsidRPr="009F7A31" w:rsidRDefault="00E25E97" w:rsidP="00E25E97">
      <w:pPr>
        <w:spacing w:after="0" w:line="240" w:lineRule="auto"/>
        <w:ind w:left="-426"/>
        <w:rPr>
          <w:b/>
        </w:rPr>
      </w:pPr>
      <w:r w:rsidRPr="009F7A31">
        <w:rPr>
          <w:b/>
        </w:rPr>
        <w:t>Planificación y aplicación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3.7. Examen inicial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3.8. Planificación, desarrollo y aplicación del sistema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3.9. Objetivos en materia de seguridad y salud en el trabajo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3.10. Prevención de los peligros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3.10.1. Medidas de prevención y control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3.10.2. Gestión del cambio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3.10.3. Prevención, preparación y respuesta respecto de situaciones de emergencia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3.10.4. Adquisiciones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3.10.5. Contratación</w:t>
      </w:r>
    </w:p>
    <w:p w:rsidR="00E25E97" w:rsidRPr="009F7A31" w:rsidRDefault="00E25E97" w:rsidP="00E25E97">
      <w:pPr>
        <w:spacing w:after="0" w:line="240" w:lineRule="auto"/>
        <w:ind w:left="-426"/>
        <w:rPr>
          <w:b/>
        </w:rPr>
      </w:pPr>
      <w:r w:rsidRPr="009F7A31">
        <w:rPr>
          <w:b/>
        </w:rPr>
        <w:t>Evaluación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3.11. Supervisión y medición de los resultados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3.12. Investigación de las lesiones, enfermedades, dolencias e incidentes relacionados con el trabajo y su efecto en la seguridad y la salud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3.13. Auditoría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3.14. Examen realizado por la dirección</w:t>
      </w:r>
    </w:p>
    <w:p w:rsidR="00E25E97" w:rsidRPr="009F7A31" w:rsidRDefault="00E25E97" w:rsidP="00E25E97">
      <w:pPr>
        <w:spacing w:after="0" w:line="240" w:lineRule="auto"/>
        <w:ind w:left="-426"/>
        <w:rPr>
          <w:b/>
        </w:rPr>
      </w:pPr>
      <w:r w:rsidRPr="009F7A31">
        <w:rPr>
          <w:b/>
        </w:rPr>
        <w:t>Acción en pro de mejoras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3.15. Acción preventiva y correctiva</w:t>
      </w:r>
    </w:p>
    <w:p w:rsidR="00E25E97" w:rsidRDefault="00E25E97" w:rsidP="00E25E97">
      <w:pPr>
        <w:spacing w:after="0" w:line="240" w:lineRule="auto"/>
        <w:ind w:left="-426"/>
      </w:pPr>
      <w:r w:rsidRPr="00E25E97">
        <w:t>3.16. Mejora continua</w:t>
      </w:r>
    </w:p>
    <w:p w:rsidR="00E25E97" w:rsidRDefault="00E25E97" w:rsidP="00E25E97">
      <w:pPr>
        <w:ind w:left="-426"/>
      </w:pPr>
    </w:p>
    <w:p w:rsidR="00E25E97" w:rsidRPr="00E25E97" w:rsidRDefault="00E25E97" w:rsidP="00E25E97">
      <w:pPr>
        <w:ind w:left="-426"/>
        <w:rPr>
          <w:b/>
          <w:bCs/>
        </w:rPr>
      </w:pPr>
      <w:r w:rsidRPr="00E25E97">
        <w:rPr>
          <w:b/>
          <w:bCs/>
        </w:rPr>
        <w:t>Resolución 1629/2007</w:t>
      </w:r>
      <w:r>
        <w:rPr>
          <w:b/>
          <w:bCs/>
        </w:rPr>
        <w:t xml:space="preserve"> </w:t>
      </w:r>
      <w:proofErr w:type="spellStart"/>
      <w:r w:rsidRPr="00E25E97">
        <w:rPr>
          <w:b/>
          <w:bCs/>
        </w:rPr>
        <w:t>Apruébase</w:t>
      </w:r>
      <w:proofErr w:type="spellEnd"/>
      <w:r w:rsidRPr="00E25E97">
        <w:rPr>
          <w:b/>
          <w:bCs/>
        </w:rPr>
        <w:t xml:space="preserve"> el "Reglamento para el Reconocimiento de implementación de los Sistemas de Gestión de la Seguridad y la Salud en el Trabajo".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1. Objeto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2. Publicaciones de Referencia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 Procedimiento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3.0 Requisitos generales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3.1 Condiciones para solicitar el Reconocimiento del S.G.S.S.T.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3.2 Proceso de Reconocimiento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3.3 Equipo de Auditoría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3.4 Proceso de Auditoría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3.5 Evaluación de la Auditoría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3.6 Informe de Auditoría</w:t>
      </w:r>
    </w:p>
    <w:p w:rsidR="00E25E97" w:rsidRPr="00E25E97" w:rsidRDefault="00E25E97" w:rsidP="00E25E97">
      <w:pPr>
        <w:spacing w:after="0" w:line="240" w:lineRule="auto"/>
        <w:ind w:left="-426"/>
      </w:pPr>
      <w:r w:rsidRPr="00E25E97">
        <w:t>3.7 Decisión para el reconocimiento</w:t>
      </w:r>
    </w:p>
    <w:p w:rsidR="00E25E97" w:rsidRDefault="00E25E97" w:rsidP="00E25E97">
      <w:pPr>
        <w:spacing w:after="0" w:line="240" w:lineRule="auto"/>
        <w:ind w:left="-426"/>
      </w:pPr>
      <w:r w:rsidRPr="00E25E97">
        <w:t>3.8 Carta de Reconocimiento y Validación</w:t>
      </w:r>
    </w:p>
    <w:p w:rsidR="00FB6036" w:rsidRDefault="00FB6036" w:rsidP="00E25E97">
      <w:pPr>
        <w:ind w:left="-426"/>
        <w:rPr>
          <w:b/>
          <w:bCs/>
        </w:rPr>
      </w:pPr>
      <w:r>
        <w:rPr>
          <w:b/>
          <w:bCs/>
        </w:rPr>
        <w:lastRenderedPageBreak/>
        <w:t>Ley 19587/72 – Ley 24557/96</w:t>
      </w:r>
    </w:p>
    <w:p w:rsidR="00406AC6" w:rsidRPr="00E25E97" w:rsidRDefault="00BD4C60" w:rsidP="00E25E97">
      <w:pPr>
        <w:ind w:left="-426"/>
        <w:rPr>
          <w:b/>
          <w:bCs/>
        </w:rPr>
      </w:pPr>
      <w:r w:rsidRPr="00E25E97">
        <w:rPr>
          <w:b/>
          <w:bCs/>
        </w:rPr>
        <w:t>Construcción</w:t>
      </w:r>
    </w:p>
    <w:p w:rsidR="001900EA" w:rsidRDefault="00406AC6" w:rsidP="00E25E97">
      <w:pPr>
        <w:pStyle w:val="Prrafodelista"/>
        <w:numPr>
          <w:ilvl w:val="0"/>
          <w:numId w:val="1"/>
        </w:numPr>
        <w:ind w:left="-426"/>
      </w:pPr>
      <w:r>
        <w:t>Res. 503/14</w:t>
      </w:r>
      <w:r w:rsidR="00FB6036">
        <w:t xml:space="preserve"> &gt; 1.20m Cielo Abierto</w:t>
      </w:r>
    </w:p>
    <w:p w:rsidR="00406AC6" w:rsidRDefault="00406AC6" w:rsidP="00E25E97">
      <w:pPr>
        <w:pStyle w:val="Prrafodelista"/>
        <w:numPr>
          <w:ilvl w:val="0"/>
          <w:numId w:val="1"/>
        </w:numPr>
        <w:ind w:left="-426"/>
      </w:pPr>
      <w:r>
        <w:t>Res 550/11</w:t>
      </w:r>
      <w:r w:rsidR="00FB6036">
        <w:t xml:space="preserve"> Demolición / Excavación</w:t>
      </w:r>
    </w:p>
    <w:p w:rsidR="00406AC6" w:rsidRDefault="00406AC6" w:rsidP="00E25E97">
      <w:pPr>
        <w:pStyle w:val="Prrafodelista"/>
        <w:numPr>
          <w:ilvl w:val="0"/>
          <w:numId w:val="1"/>
        </w:numPr>
        <w:ind w:left="-426"/>
      </w:pPr>
      <w:proofErr w:type="spellStart"/>
      <w:r>
        <w:t>Dec</w:t>
      </w:r>
      <w:proofErr w:type="spellEnd"/>
      <w:r>
        <w:t xml:space="preserve"> 911/96</w:t>
      </w:r>
    </w:p>
    <w:p w:rsidR="00406AC6" w:rsidRDefault="00406AC6" w:rsidP="00E25E97">
      <w:pPr>
        <w:pStyle w:val="Prrafodelista"/>
        <w:numPr>
          <w:ilvl w:val="0"/>
          <w:numId w:val="1"/>
        </w:numPr>
        <w:ind w:left="-426"/>
      </w:pPr>
      <w:r>
        <w:t>231/96</w:t>
      </w:r>
    </w:p>
    <w:p w:rsidR="00406AC6" w:rsidRDefault="00406AC6" w:rsidP="00E25E97">
      <w:pPr>
        <w:pStyle w:val="Prrafodelista"/>
        <w:numPr>
          <w:ilvl w:val="0"/>
          <w:numId w:val="1"/>
        </w:numPr>
        <w:ind w:left="-426"/>
      </w:pPr>
      <w:r>
        <w:t>Programa de Seguridad</w:t>
      </w:r>
    </w:p>
    <w:p w:rsidR="00406AC6" w:rsidRDefault="00406AC6" w:rsidP="00E25E97">
      <w:pPr>
        <w:pStyle w:val="Prrafodelista"/>
        <w:numPr>
          <w:ilvl w:val="1"/>
          <w:numId w:val="1"/>
        </w:numPr>
        <w:ind w:left="-426"/>
      </w:pPr>
      <w:r>
        <w:t>51/97</w:t>
      </w:r>
    </w:p>
    <w:p w:rsidR="00406AC6" w:rsidRDefault="00406AC6" w:rsidP="00E25E97">
      <w:pPr>
        <w:pStyle w:val="Prrafodelista"/>
        <w:numPr>
          <w:ilvl w:val="1"/>
          <w:numId w:val="1"/>
        </w:numPr>
        <w:ind w:left="-426"/>
      </w:pPr>
      <w:r>
        <w:t>35/98</w:t>
      </w:r>
    </w:p>
    <w:p w:rsidR="00406AC6" w:rsidRDefault="00406AC6" w:rsidP="00E25E97">
      <w:pPr>
        <w:pStyle w:val="Prrafodelista"/>
        <w:numPr>
          <w:ilvl w:val="1"/>
          <w:numId w:val="1"/>
        </w:numPr>
        <w:ind w:left="-426"/>
      </w:pPr>
      <w:r>
        <w:t>319/99</w:t>
      </w:r>
    </w:p>
    <w:p w:rsidR="00406AC6" w:rsidRPr="00E25E97" w:rsidRDefault="00406AC6" w:rsidP="00E25E97">
      <w:pPr>
        <w:ind w:left="-426"/>
        <w:rPr>
          <w:b/>
          <w:bCs/>
        </w:rPr>
      </w:pPr>
      <w:r w:rsidRPr="00E25E97">
        <w:rPr>
          <w:b/>
          <w:bCs/>
        </w:rPr>
        <w:t>Industria</w:t>
      </w:r>
    </w:p>
    <w:p w:rsidR="00406AC6" w:rsidRDefault="00406AC6" w:rsidP="00E25E97">
      <w:pPr>
        <w:pStyle w:val="Prrafodelista"/>
        <w:numPr>
          <w:ilvl w:val="0"/>
          <w:numId w:val="2"/>
        </w:numPr>
        <w:ind w:left="-426"/>
      </w:pPr>
      <w:r>
        <w:t>351/79</w:t>
      </w:r>
    </w:p>
    <w:p w:rsidR="00406AC6" w:rsidRDefault="00406AC6" w:rsidP="00E25E97">
      <w:pPr>
        <w:pStyle w:val="Prrafodelista"/>
        <w:numPr>
          <w:ilvl w:val="0"/>
          <w:numId w:val="2"/>
        </w:numPr>
        <w:ind w:left="-426"/>
      </w:pPr>
      <w:r>
        <w:t>1338/96</w:t>
      </w:r>
    </w:p>
    <w:p w:rsidR="00406AC6" w:rsidRDefault="00406AC6" w:rsidP="00E25E97">
      <w:pPr>
        <w:pStyle w:val="Prrafodelista"/>
        <w:numPr>
          <w:ilvl w:val="0"/>
          <w:numId w:val="2"/>
        </w:numPr>
        <w:ind w:left="-426"/>
      </w:pPr>
      <w:r>
        <w:t>295/03</w:t>
      </w:r>
    </w:p>
    <w:p w:rsidR="00406AC6" w:rsidRDefault="00406AC6" w:rsidP="00E25E97">
      <w:pPr>
        <w:pStyle w:val="Prrafodelista"/>
        <w:numPr>
          <w:ilvl w:val="0"/>
          <w:numId w:val="2"/>
        </w:numPr>
        <w:ind w:left="-426"/>
      </w:pPr>
      <w:r>
        <w:t>658/96</w:t>
      </w:r>
    </w:p>
    <w:p w:rsidR="00406AC6" w:rsidRDefault="00406AC6" w:rsidP="00E25E97">
      <w:pPr>
        <w:pStyle w:val="Prrafodelista"/>
        <w:numPr>
          <w:ilvl w:val="0"/>
          <w:numId w:val="2"/>
        </w:numPr>
        <w:ind w:left="-426"/>
      </w:pPr>
      <w:r>
        <w:t>49/14</w:t>
      </w:r>
    </w:p>
    <w:p w:rsidR="00406AC6" w:rsidRDefault="00406AC6" w:rsidP="00E25E97">
      <w:pPr>
        <w:pStyle w:val="Prrafodelista"/>
        <w:numPr>
          <w:ilvl w:val="0"/>
          <w:numId w:val="2"/>
        </w:numPr>
        <w:ind w:left="-426"/>
      </w:pPr>
      <w:r>
        <w:t>37/10</w:t>
      </w:r>
    </w:p>
    <w:p w:rsidR="00CF0493" w:rsidRDefault="00CF0493" w:rsidP="00E25E97">
      <w:pPr>
        <w:pStyle w:val="Prrafodelista"/>
        <w:numPr>
          <w:ilvl w:val="0"/>
          <w:numId w:val="2"/>
        </w:numPr>
        <w:ind w:left="-426"/>
      </w:pPr>
      <w:r>
        <w:t xml:space="preserve">Res SRT 886/15 </w:t>
      </w:r>
    </w:p>
    <w:p w:rsidR="00406AC6" w:rsidRDefault="00406AC6" w:rsidP="00E25E97">
      <w:pPr>
        <w:ind w:left="-426"/>
      </w:pPr>
    </w:p>
    <w:p w:rsidR="00406AC6" w:rsidRPr="00E25E97" w:rsidRDefault="00406AC6" w:rsidP="00E25E97">
      <w:pPr>
        <w:ind w:left="-426"/>
        <w:rPr>
          <w:b/>
          <w:bCs/>
        </w:rPr>
      </w:pPr>
      <w:r w:rsidRPr="00E25E97">
        <w:rPr>
          <w:b/>
          <w:bCs/>
        </w:rPr>
        <w:t>ART</w:t>
      </w:r>
    </w:p>
    <w:p w:rsidR="00406AC6" w:rsidRDefault="00406AC6" w:rsidP="00E25E97">
      <w:pPr>
        <w:pStyle w:val="Prrafodelista"/>
        <w:numPr>
          <w:ilvl w:val="0"/>
          <w:numId w:val="3"/>
        </w:numPr>
        <w:ind w:left="-426"/>
      </w:pPr>
      <w:r>
        <w:t>Legajo técnico</w:t>
      </w:r>
    </w:p>
    <w:p w:rsidR="00406AC6" w:rsidRDefault="00406AC6" w:rsidP="00E25E97">
      <w:pPr>
        <w:pStyle w:val="Prrafodelista"/>
        <w:numPr>
          <w:ilvl w:val="0"/>
          <w:numId w:val="3"/>
        </w:numPr>
        <w:ind w:left="-426"/>
      </w:pPr>
      <w:r>
        <w:t>Investigación de accidentes</w:t>
      </w:r>
    </w:p>
    <w:p w:rsidR="00406AC6" w:rsidRDefault="00406AC6" w:rsidP="00E25E97">
      <w:pPr>
        <w:pStyle w:val="Prrafodelista"/>
        <w:numPr>
          <w:ilvl w:val="0"/>
          <w:numId w:val="3"/>
        </w:numPr>
        <w:ind w:left="-426"/>
      </w:pPr>
      <w:r>
        <w:t>363/16 (P.E.S.E)</w:t>
      </w:r>
    </w:p>
    <w:p w:rsidR="00406AC6" w:rsidRDefault="00406AC6" w:rsidP="00E25E97">
      <w:pPr>
        <w:pStyle w:val="Prrafodelista"/>
        <w:numPr>
          <w:ilvl w:val="0"/>
          <w:numId w:val="3"/>
        </w:numPr>
        <w:ind w:left="-426"/>
      </w:pPr>
      <w:r>
        <w:t>01/05 (P.A.P.E)</w:t>
      </w:r>
    </w:p>
    <w:p w:rsidR="00406AC6" w:rsidRDefault="00406AC6" w:rsidP="00E25E97">
      <w:pPr>
        <w:pStyle w:val="Prrafodelista"/>
        <w:numPr>
          <w:ilvl w:val="0"/>
          <w:numId w:val="3"/>
        </w:numPr>
        <w:ind w:left="-426"/>
      </w:pPr>
      <w:r>
        <w:t>Anormalidades</w:t>
      </w:r>
    </w:p>
    <w:p w:rsidR="00406AC6" w:rsidRDefault="00406AC6" w:rsidP="00E25E97">
      <w:pPr>
        <w:pStyle w:val="Prrafodelista"/>
        <w:numPr>
          <w:ilvl w:val="0"/>
          <w:numId w:val="3"/>
        </w:numPr>
        <w:ind w:left="-426"/>
      </w:pPr>
      <w:r>
        <w:t>PRAM</w:t>
      </w:r>
    </w:p>
    <w:p w:rsidR="00406AC6" w:rsidRDefault="00406AC6" w:rsidP="00E25E97">
      <w:pPr>
        <w:pStyle w:val="Prrafodelista"/>
        <w:numPr>
          <w:ilvl w:val="0"/>
          <w:numId w:val="3"/>
        </w:numPr>
        <w:ind w:left="-426"/>
      </w:pPr>
      <w:r>
        <w:t>RAR</w:t>
      </w:r>
    </w:p>
    <w:p w:rsidR="00406AC6" w:rsidRDefault="007D5738" w:rsidP="00E25E97">
      <w:pPr>
        <w:pStyle w:val="Prrafodelista"/>
        <w:numPr>
          <w:ilvl w:val="0"/>
          <w:numId w:val="3"/>
        </w:numPr>
        <w:ind w:left="-426"/>
      </w:pPr>
      <w:r>
        <w:t>RGR</w:t>
      </w:r>
      <w:r w:rsidR="00406AC6">
        <w:t>L (Formulario A, B, C)</w:t>
      </w:r>
    </w:p>
    <w:p w:rsidR="00406AC6" w:rsidRDefault="00406AC6" w:rsidP="00E25E97">
      <w:pPr>
        <w:pStyle w:val="Prrafodelista"/>
        <w:numPr>
          <w:ilvl w:val="1"/>
          <w:numId w:val="3"/>
        </w:numPr>
        <w:ind w:left="-426"/>
      </w:pPr>
      <w:r>
        <w:t>Verificación de medidas</w:t>
      </w:r>
    </w:p>
    <w:p w:rsidR="00406AC6" w:rsidRDefault="00406AC6" w:rsidP="00E25E97">
      <w:pPr>
        <w:pStyle w:val="Prrafodelista"/>
        <w:numPr>
          <w:ilvl w:val="1"/>
          <w:numId w:val="3"/>
        </w:numPr>
        <w:ind w:left="-426"/>
      </w:pPr>
      <w:r>
        <w:t>Verosimilitud</w:t>
      </w:r>
    </w:p>
    <w:p w:rsidR="00406AC6" w:rsidRDefault="00406AC6" w:rsidP="00E25E97">
      <w:pPr>
        <w:pStyle w:val="Prrafodelista"/>
        <w:numPr>
          <w:ilvl w:val="0"/>
          <w:numId w:val="3"/>
        </w:numPr>
        <w:ind w:left="-426"/>
      </w:pPr>
      <w:r>
        <w:t>Res. 415/02 y 310/03</w:t>
      </w:r>
    </w:p>
    <w:p w:rsidR="00406AC6" w:rsidRDefault="00406AC6" w:rsidP="00E25E97">
      <w:pPr>
        <w:ind w:left="-426"/>
      </w:pPr>
    </w:p>
    <w:p w:rsidR="00406AC6" w:rsidRPr="00E25E97" w:rsidRDefault="00E25E97" w:rsidP="00E25E97">
      <w:pPr>
        <w:ind w:left="-426"/>
        <w:rPr>
          <w:b/>
          <w:bCs/>
        </w:rPr>
      </w:pPr>
      <w:r>
        <w:rPr>
          <w:b/>
          <w:bCs/>
        </w:rPr>
        <w:t>EL CONOCIMIENTO CABAL DE LOS SIGUIENTES TEMAS DETERMINARÁ (O NO) LA APROBACIÓN DEL EXAMEN</w:t>
      </w:r>
      <w:proofErr w:type="gramStart"/>
      <w:r w:rsidR="00406AC6" w:rsidRPr="00E25E97">
        <w:rPr>
          <w:b/>
          <w:bCs/>
        </w:rPr>
        <w:t>!!!</w:t>
      </w:r>
      <w:proofErr w:type="gramEnd"/>
    </w:p>
    <w:p w:rsidR="00406AC6" w:rsidRDefault="00406AC6" w:rsidP="00E25E97">
      <w:pPr>
        <w:pStyle w:val="Prrafodelista"/>
        <w:numPr>
          <w:ilvl w:val="0"/>
          <w:numId w:val="4"/>
        </w:numPr>
        <w:ind w:left="-426"/>
      </w:pPr>
      <w:r>
        <w:t xml:space="preserve">5 REGLAS DE </w:t>
      </w:r>
      <w:r w:rsidR="00567EA9">
        <w:t>CONSIGNACIÓN DE INSTALACIONES ELÉCTRICAS</w:t>
      </w:r>
      <w:r w:rsidR="00CB36A8">
        <w:t>.</w:t>
      </w:r>
    </w:p>
    <w:p w:rsidR="00406AC6" w:rsidRDefault="00567EA9" w:rsidP="00E25E97">
      <w:pPr>
        <w:pStyle w:val="Prrafodelista"/>
        <w:numPr>
          <w:ilvl w:val="0"/>
          <w:numId w:val="4"/>
        </w:numPr>
        <w:ind w:left="-426"/>
      </w:pPr>
      <w:r>
        <w:t xml:space="preserve">ATMÓSFERAS </w:t>
      </w:r>
      <w:r w:rsidR="00CB36A8">
        <w:t xml:space="preserve">RIESGOSAS </w:t>
      </w:r>
      <w:r>
        <w:t xml:space="preserve">EN </w:t>
      </w:r>
      <w:r w:rsidR="00406AC6">
        <w:t>Espacio confinado.</w:t>
      </w:r>
    </w:p>
    <w:p w:rsidR="00406AC6" w:rsidRDefault="00567EA9" w:rsidP="00E25E97">
      <w:pPr>
        <w:pStyle w:val="Prrafodelista"/>
        <w:numPr>
          <w:ilvl w:val="0"/>
          <w:numId w:val="4"/>
        </w:numPr>
        <w:ind w:left="-426"/>
      </w:pPr>
      <w:r>
        <w:t xml:space="preserve">RIESGO EN TRABAJO CON EQUIPO </w:t>
      </w:r>
      <w:proofErr w:type="spellStart"/>
      <w:r w:rsidR="00BD4C60">
        <w:t>Oxiacetiléno</w:t>
      </w:r>
      <w:proofErr w:type="spellEnd"/>
      <w:r w:rsidR="00BD4C60">
        <w:t>.</w:t>
      </w:r>
    </w:p>
    <w:p w:rsidR="00CB36A8" w:rsidRDefault="00CB36A8" w:rsidP="00E25E97">
      <w:pPr>
        <w:pStyle w:val="Prrafodelista"/>
        <w:numPr>
          <w:ilvl w:val="0"/>
          <w:numId w:val="4"/>
        </w:numPr>
        <w:ind w:left="-426"/>
      </w:pPr>
      <w:r>
        <w:t>TRABAJO EN ALTURA.</w:t>
      </w:r>
    </w:p>
    <w:sectPr w:rsidR="00CB36A8" w:rsidSect="00E25E97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4C4"/>
    <w:multiLevelType w:val="hybridMultilevel"/>
    <w:tmpl w:val="EA9028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4FF9"/>
    <w:multiLevelType w:val="hybridMultilevel"/>
    <w:tmpl w:val="8DD49D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652D"/>
    <w:multiLevelType w:val="hybridMultilevel"/>
    <w:tmpl w:val="71183C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27CD"/>
    <w:multiLevelType w:val="hybridMultilevel"/>
    <w:tmpl w:val="41129F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AC6"/>
    <w:rsid w:val="001900EA"/>
    <w:rsid w:val="00406AC6"/>
    <w:rsid w:val="00567EA9"/>
    <w:rsid w:val="007D5738"/>
    <w:rsid w:val="009F7A31"/>
    <w:rsid w:val="00AF5598"/>
    <w:rsid w:val="00BD4C60"/>
    <w:rsid w:val="00CB36A8"/>
    <w:rsid w:val="00CF0493"/>
    <w:rsid w:val="00E25E97"/>
    <w:rsid w:val="00E521DB"/>
    <w:rsid w:val="00FB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AC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06AC6"/>
    <w:rPr>
      <w:i/>
      <w:iCs/>
    </w:rPr>
  </w:style>
  <w:style w:type="character" w:customStyle="1" w:styleId="apple-converted-space">
    <w:name w:val="apple-converted-space"/>
    <w:basedOn w:val="Fuentedeprrafopredeter"/>
    <w:rsid w:val="00406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049B-1F71-4B11-B14F-7872D5C6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 IT</dc:creator>
  <cp:keywords/>
  <dc:description/>
  <cp:lastModifiedBy>Gustavo Lombardozzi</cp:lastModifiedBy>
  <cp:revision>10</cp:revision>
  <dcterms:created xsi:type="dcterms:W3CDTF">2016-11-16T13:38:00Z</dcterms:created>
  <dcterms:modified xsi:type="dcterms:W3CDTF">2016-12-22T09:48:00Z</dcterms:modified>
</cp:coreProperties>
</file>